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74BE" w:rsidRDefault="003F15E3">
      <w:pPr>
        <w:spacing w:after="918" w:line="240" w:lineRule="auto"/>
        <w:ind w:left="0" w:firstLine="0"/>
        <w:jc w:val="center"/>
      </w:pPr>
      <w:r>
        <w:rPr>
          <w:noProof/>
          <w:szCs w:val="24"/>
        </w:rPr>
        <w:drawing>
          <wp:inline distT="0" distB="0" distL="0" distR="0">
            <wp:extent cx="1536229" cy="14859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310" cy="1490814"/>
                    </a:xfrm>
                    <a:prstGeom prst="rect">
                      <a:avLst/>
                    </a:prstGeom>
                    <a:noFill/>
                    <a:ln>
                      <a:noFill/>
                    </a:ln>
                  </pic:spPr>
                </pic:pic>
              </a:graphicData>
            </a:graphic>
          </wp:inline>
        </w:drawing>
      </w:r>
    </w:p>
    <w:p w:rsidR="00EA74BE" w:rsidRDefault="00000000">
      <w:r>
        <w:rPr>
          <w:szCs w:val="24"/>
        </w:rPr>
        <w:t xml:space="preserve">Date:   </w:t>
      </w:r>
      <w:proofErr w:type="gramStart"/>
      <w:r>
        <w:rPr>
          <w:szCs w:val="24"/>
        </w:rPr>
        <w:t>/</w:t>
      </w:r>
      <w:r w:rsidR="003F15E3">
        <w:rPr>
          <w:szCs w:val="24"/>
        </w:rPr>
        <w:t xml:space="preserve">  </w:t>
      </w:r>
      <w:r>
        <w:rPr>
          <w:szCs w:val="24"/>
        </w:rPr>
        <w:t>/</w:t>
      </w:r>
      <w:proofErr w:type="gramEnd"/>
      <w:r>
        <w:rPr>
          <w:szCs w:val="24"/>
        </w:rPr>
        <w:t>20</w:t>
      </w:r>
    </w:p>
    <w:p w:rsidR="003A2676" w:rsidRDefault="00000000" w:rsidP="003A2676">
      <w:pPr>
        <w:spacing w:after="527" w:line="702" w:lineRule="auto"/>
        <w:ind w:right="-19"/>
        <w:rPr>
          <w:szCs w:val="24"/>
        </w:rPr>
      </w:pPr>
      <w:r>
        <w:rPr>
          <w:szCs w:val="24"/>
        </w:rPr>
        <w:t xml:space="preserve">To </w:t>
      </w:r>
      <w:r w:rsidR="00285699">
        <w:rPr>
          <w:szCs w:val="24"/>
        </w:rPr>
        <w:t>[NAME]</w:t>
      </w:r>
      <w:r>
        <w:rPr>
          <w:szCs w:val="24"/>
        </w:rPr>
        <w:t xml:space="preserve"> CEO of the Australian Taxation</w:t>
      </w:r>
      <w:r w:rsidR="003A2676">
        <w:rPr>
          <w:szCs w:val="24"/>
        </w:rPr>
        <w:t xml:space="preserve"> </w:t>
      </w:r>
      <w:r>
        <w:rPr>
          <w:szCs w:val="24"/>
        </w:rPr>
        <w:t xml:space="preserve">Office, </w:t>
      </w:r>
    </w:p>
    <w:p w:rsidR="00EA74BE" w:rsidRDefault="00000000" w:rsidP="003A2676">
      <w:pPr>
        <w:spacing w:after="527" w:line="702" w:lineRule="auto"/>
        <w:ind w:right="-19"/>
      </w:pPr>
      <w:r>
        <w:rPr>
          <w:szCs w:val="24"/>
        </w:rPr>
        <w:t>Australian Taxation Office REF: ____________</w:t>
      </w:r>
    </w:p>
    <w:p w:rsidR="00EA74BE" w:rsidRDefault="00000000">
      <w:pPr>
        <w:spacing w:after="0"/>
      </w:pPr>
      <w:r>
        <w:rPr>
          <w:szCs w:val="24"/>
        </w:rPr>
        <w:t>Unless we are mistaken LETTERS PATENT dated 29</w:t>
      </w:r>
      <w:r>
        <w:rPr>
          <w:sz w:val="22"/>
          <w:vertAlign w:val="superscript"/>
        </w:rPr>
        <w:t>th</w:t>
      </w:r>
      <w:r>
        <w:rPr>
          <w:szCs w:val="24"/>
        </w:rPr>
        <w:t xml:space="preserve"> of October 1900 was passed under the </w:t>
      </w:r>
    </w:p>
    <w:p w:rsidR="00EA74BE" w:rsidRDefault="00000000">
      <w:pPr>
        <w:spacing w:after="0"/>
      </w:pPr>
      <w:r>
        <w:rPr>
          <w:szCs w:val="24"/>
        </w:rPr>
        <w:t xml:space="preserve">Great Seal of the United Kingdom, constituting the Office of the Governor-General and </w:t>
      </w:r>
    </w:p>
    <w:p w:rsidR="00EA74BE" w:rsidRDefault="00000000">
      <w:pPr>
        <w:spacing w:after="550"/>
        <w:rPr>
          <w:szCs w:val="24"/>
        </w:rPr>
      </w:pPr>
      <w:r>
        <w:rPr>
          <w:szCs w:val="24"/>
        </w:rPr>
        <w:t>Commander-in-Chief, of the Commonwealth of Australia, 29</w:t>
      </w:r>
      <w:r>
        <w:rPr>
          <w:sz w:val="22"/>
          <w:vertAlign w:val="superscript"/>
        </w:rPr>
        <w:t>th</w:t>
      </w:r>
      <w:r>
        <w:rPr>
          <w:szCs w:val="24"/>
        </w:rPr>
        <w:t xml:space="preserve"> of October 1900. Unless revoked, altered or amended by an heir and successor to the late Queen Victoria under the Great Seal of the United Kingdom will still remain lawful and valid today.</w:t>
      </w:r>
    </w:p>
    <w:p w:rsidR="003A2676" w:rsidRDefault="003A2676">
      <w:pPr>
        <w:spacing w:after="550"/>
      </w:pPr>
      <w:r>
        <w:rPr>
          <w:szCs w:val="24"/>
        </w:rPr>
        <w:t>Therefore, it is incumbent on you to provide the following to me before I decide to pay the taxes you claim are owed:</w:t>
      </w:r>
    </w:p>
    <w:p w:rsidR="00EA74BE" w:rsidRDefault="00000000">
      <w:pPr>
        <w:numPr>
          <w:ilvl w:val="0"/>
          <w:numId w:val="1"/>
        </w:numPr>
        <w:ind w:hanging="340"/>
      </w:pPr>
      <w:r>
        <w:rPr>
          <w:szCs w:val="24"/>
        </w:rPr>
        <w:t>Proof of Claim.</w:t>
      </w:r>
    </w:p>
    <w:p w:rsidR="00EA74BE" w:rsidRDefault="00000000">
      <w:pPr>
        <w:numPr>
          <w:ilvl w:val="0"/>
          <w:numId w:val="1"/>
        </w:numPr>
        <w:ind w:hanging="340"/>
      </w:pPr>
      <w:r>
        <w:rPr>
          <w:szCs w:val="24"/>
        </w:rPr>
        <w:t>Proof that this claim has been not been settled by set-off.</w:t>
      </w:r>
    </w:p>
    <w:p w:rsidR="00EA74BE" w:rsidRDefault="00000000">
      <w:pPr>
        <w:numPr>
          <w:ilvl w:val="0"/>
          <w:numId w:val="1"/>
        </w:numPr>
        <w:ind w:hanging="340"/>
      </w:pPr>
      <w:r>
        <w:rPr>
          <w:szCs w:val="24"/>
        </w:rPr>
        <w:t>Proof that this matter has not been privately settled and closed.</w:t>
      </w:r>
    </w:p>
    <w:p w:rsidR="00EA74BE" w:rsidRDefault="00000000">
      <w:pPr>
        <w:numPr>
          <w:ilvl w:val="0"/>
          <w:numId w:val="1"/>
        </w:numPr>
        <w:spacing w:after="0"/>
        <w:ind w:hanging="340"/>
      </w:pPr>
      <w:r>
        <w:rPr>
          <w:szCs w:val="24"/>
        </w:rPr>
        <w:t>Proof that paying tax is not</w:t>
      </w:r>
      <w:r>
        <w:rPr>
          <w:b/>
          <w:szCs w:val="24"/>
        </w:rPr>
        <w:t xml:space="preserve"> </w:t>
      </w:r>
      <w:r>
        <w:rPr>
          <w:szCs w:val="24"/>
        </w:rPr>
        <w:t xml:space="preserve">voluntary – </w:t>
      </w:r>
    </w:p>
    <w:p w:rsidR="00EA74BE" w:rsidRDefault="00000000">
      <w:r>
        <w:rPr>
          <w:szCs w:val="24"/>
        </w:rPr>
        <w:t xml:space="preserve">     TAKE NOTE, the (ATO) Charter states that paying tax is voluntary </w:t>
      </w:r>
    </w:p>
    <w:p w:rsidR="00EA74BE" w:rsidRDefault="00000000">
      <w:pPr>
        <w:numPr>
          <w:ilvl w:val="0"/>
          <w:numId w:val="1"/>
        </w:numPr>
        <w:ind w:hanging="340"/>
      </w:pPr>
      <w:r>
        <w:rPr>
          <w:szCs w:val="24"/>
        </w:rPr>
        <w:t>Proof that We,</w:t>
      </w:r>
      <w:r w:rsidR="003A2676">
        <w:rPr>
          <w:szCs w:val="24"/>
        </w:rPr>
        <w:t xml:space="preserve"> the People of the Commonwealth of Australia,</w:t>
      </w:r>
      <w:r>
        <w:rPr>
          <w:szCs w:val="24"/>
        </w:rPr>
        <w:t xml:space="preserve"> have volunteered to pay tax.</w:t>
      </w:r>
    </w:p>
    <w:p w:rsidR="00EA74BE" w:rsidRDefault="00000000">
      <w:pPr>
        <w:numPr>
          <w:ilvl w:val="0"/>
          <w:numId w:val="1"/>
        </w:numPr>
        <w:ind w:hanging="340"/>
      </w:pPr>
      <w:r>
        <w:rPr>
          <w:szCs w:val="24"/>
        </w:rPr>
        <w:t>Proof that the ATO Does Not comply with Australian Accounting Standards (AAS) – NOTE The ATO is on the Board of AAS for development of accounting standards. (The ATO needs to prove they DO comply with the AAS)</w:t>
      </w:r>
    </w:p>
    <w:p w:rsidR="00EA74BE" w:rsidRDefault="00000000">
      <w:pPr>
        <w:numPr>
          <w:ilvl w:val="0"/>
          <w:numId w:val="1"/>
        </w:numPr>
        <w:spacing w:after="550"/>
        <w:ind w:hanging="340"/>
      </w:pPr>
      <w:r>
        <w:rPr>
          <w:szCs w:val="24"/>
        </w:rPr>
        <w:lastRenderedPageBreak/>
        <w:t>Proof that AAS 43 – Extinguishment of debt by set-off does not exist, and</w:t>
      </w:r>
    </w:p>
    <w:p w:rsidR="00EA74BE" w:rsidRDefault="00000000">
      <w:pPr>
        <w:numPr>
          <w:ilvl w:val="0"/>
          <w:numId w:val="1"/>
        </w:numPr>
        <w:spacing w:after="0"/>
        <w:ind w:hanging="340"/>
      </w:pPr>
      <w:r>
        <w:rPr>
          <w:szCs w:val="24"/>
        </w:rPr>
        <w:t>Proof that the ATO is a legal entity lawfully promulgated in the GAZETTE – NOTE – The ATO was established in the early 1970′s and was NEVER gazetted.</w:t>
      </w:r>
    </w:p>
    <w:p w:rsidR="003A2676" w:rsidRDefault="003A2676">
      <w:pPr>
        <w:rPr>
          <w:szCs w:val="24"/>
        </w:rPr>
      </w:pPr>
    </w:p>
    <w:p w:rsidR="00EA74BE" w:rsidRDefault="00000000">
      <w:r>
        <w:rPr>
          <w:szCs w:val="24"/>
        </w:rPr>
        <w:t>•Can you provide verified evidence that LETTERS PATENT dated 29 Oct 1900 has indeed been revoked, altered or amended to allow Royal Assent of these Acts the Public Service Act 1999 and the Financial Management and Accountability Act 1997?</w:t>
      </w:r>
    </w:p>
    <w:p w:rsidR="00EA74BE" w:rsidRDefault="00000000">
      <w:pPr>
        <w:spacing w:after="551"/>
      </w:pPr>
      <w:r>
        <w:rPr>
          <w:szCs w:val="24"/>
        </w:rPr>
        <w:t>•Can you also provide verified evidence that the Governor-General who purportedly ascribed Royal Assent to the Public Service Act 1999 or Financial Management and Accountability Act 1997 and the Commissioner of Taxation was properly commissioned, and was of the same Office as constituted by LETTERS PATENT dated 29 Oct 1900?</w:t>
      </w:r>
    </w:p>
    <w:p w:rsidR="00EA74BE" w:rsidRDefault="00000000">
      <w:pPr>
        <w:spacing w:after="551"/>
      </w:pPr>
      <w:r>
        <w:rPr>
          <w:szCs w:val="24"/>
        </w:rPr>
        <w:t xml:space="preserve">We are aware that the 1984 LETTERS PATENT states that the 1900 LETTERS PATENT </w:t>
      </w:r>
      <w:r w:rsidR="003A2676">
        <w:rPr>
          <w:szCs w:val="24"/>
        </w:rPr>
        <w:t>was</w:t>
      </w:r>
      <w:r>
        <w:rPr>
          <w:szCs w:val="24"/>
        </w:rPr>
        <w:t xml:space="preserve"> revoked but if you could also provide written evidence that the 1900 LETTERS PATENT was indeed revoked by and heir and successor to the late Queen Victoria in accordance with the full power and authority reserved by her in 1900, then this would help to strengthen the case of the Australian Taxation Office as a legitimate Government authority.</w:t>
      </w:r>
    </w:p>
    <w:p w:rsidR="00EA74BE" w:rsidRDefault="00000000">
      <w:r>
        <w:rPr>
          <w:szCs w:val="24"/>
        </w:rPr>
        <w:t xml:space="preserve">Unless you can provide us with the requested verified evidence then unfortunately </w:t>
      </w:r>
      <w:proofErr w:type="gramStart"/>
      <w:r>
        <w:rPr>
          <w:szCs w:val="24"/>
        </w:rPr>
        <w:t xml:space="preserve">we, </w:t>
      </w:r>
      <w:r>
        <w:rPr>
          <w:b/>
          <w:szCs w:val="24"/>
          <w:u w:val="single"/>
        </w:rPr>
        <w:t xml:space="preserve">  </w:t>
      </w:r>
      <w:proofErr w:type="gramEnd"/>
      <w:r>
        <w:rPr>
          <w:b/>
          <w:szCs w:val="24"/>
          <w:u w:val="single"/>
        </w:rPr>
        <w:t xml:space="preserve">                      </w:t>
      </w:r>
      <w:r>
        <w:rPr>
          <w:szCs w:val="24"/>
        </w:rPr>
        <w:t>will be unable to pay any outstanding and future debts or penalties imposed by an unlawful and unconstitutional Australian Taxation Office (ATO) as we want to be sure that the amount the (ATO) says is outstanding now and in the future goes to the people of the Commonwealth of Australia as defined with an Act to constitute the Commonwealth of Australia 1900 (UK) [63 &amp; 64 Vict.] [Ch. 12].</w:t>
      </w:r>
    </w:p>
    <w:p w:rsidR="00EA74BE" w:rsidRDefault="00000000">
      <w:pPr>
        <w:pStyle w:val="Heading1"/>
      </w:pPr>
      <w:r>
        <w:rPr>
          <w:szCs w:val="32"/>
        </w:rPr>
        <w:t>Crimes Act 1914</w:t>
      </w:r>
    </w:p>
    <w:p w:rsidR="00EA74BE" w:rsidRDefault="00000000">
      <w:r>
        <w:rPr>
          <w:szCs w:val="24"/>
        </w:rPr>
        <w:t>We also draw your attention to an excerpt from the Commonwealth of Australia Crimes Act. Act 12 of 1914</w:t>
      </w:r>
      <w:r w:rsidR="00A803C1">
        <w:rPr>
          <w:szCs w:val="24"/>
        </w:rPr>
        <w:t>. S.75(b)</w:t>
      </w:r>
      <w:r>
        <w:rPr>
          <w:szCs w:val="24"/>
        </w:rPr>
        <w:t xml:space="preserve"> (with Royal Assent, not repealed)</w:t>
      </w:r>
      <w:r w:rsidR="008436A9">
        <w:rPr>
          <w:szCs w:val="24"/>
        </w:rPr>
        <w:t>:</w:t>
      </w:r>
    </w:p>
    <w:p w:rsidR="00EA74BE" w:rsidRDefault="00000000">
      <w:pPr>
        <w:spacing w:after="0"/>
      </w:pPr>
      <w:r>
        <w:rPr>
          <w:color w:val="008000"/>
          <w:szCs w:val="24"/>
        </w:rPr>
        <w:t>3.</w:t>
      </w:r>
      <w:r>
        <w:rPr>
          <w:szCs w:val="24"/>
        </w:rPr>
        <w:t xml:space="preserve"> “Commonwealth officer” means any person holding office under the Commonwealth, and includes any person permanently or temporarily employed in the Public Service of the </w:t>
      </w:r>
    </w:p>
    <w:p w:rsidR="00EA74BE" w:rsidRDefault="00000000">
      <w:pPr>
        <w:spacing w:after="550"/>
      </w:pPr>
      <w:r>
        <w:rPr>
          <w:szCs w:val="24"/>
        </w:rPr>
        <w:t>Commonwealth, or in connection with the Naval or Military Forces of the Commonwealth.</w:t>
      </w:r>
    </w:p>
    <w:p w:rsidR="00EA74BE" w:rsidRDefault="00000000">
      <w:pPr>
        <w:spacing w:after="274" w:line="240" w:lineRule="auto"/>
        <w:ind w:left="0" w:firstLine="0"/>
      </w:pPr>
      <w:r>
        <w:rPr>
          <w:color w:val="008000"/>
          <w:szCs w:val="24"/>
        </w:rPr>
        <w:t>75. Any person who-</w:t>
      </w:r>
    </w:p>
    <w:p w:rsidR="00EA74BE" w:rsidRDefault="00000000">
      <w:pPr>
        <w:numPr>
          <w:ilvl w:val="0"/>
          <w:numId w:val="2"/>
        </w:numPr>
        <w:ind w:right="314"/>
      </w:pPr>
      <w:r>
        <w:rPr>
          <w:szCs w:val="24"/>
        </w:rPr>
        <w:t>Personates any Commonwealth officer on an occasion when the latter is required to do any act or attend in any place by virtue of his office or employment; or</w:t>
      </w:r>
    </w:p>
    <w:p w:rsidR="00EA74BE" w:rsidRPr="008436A9" w:rsidRDefault="00000000">
      <w:pPr>
        <w:numPr>
          <w:ilvl w:val="0"/>
          <w:numId w:val="2"/>
        </w:numPr>
        <w:spacing w:after="555"/>
        <w:ind w:right="314"/>
      </w:pPr>
      <w:r>
        <w:rPr>
          <w:szCs w:val="24"/>
        </w:rPr>
        <w:t xml:space="preserve">Falsely represents himself to be a Commonwealth officer, and assumes to do any act or attend in any place for the purpose of doing any act by virtue of his pretended office or employment, </w:t>
      </w:r>
      <w:proofErr w:type="gramStart"/>
      <w:r>
        <w:rPr>
          <w:szCs w:val="24"/>
        </w:rPr>
        <w:t>Shall</w:t>
      </w:r>
      <w:proofErr w:type="gramEnd"/>
      <w:r>
        <w:rPr>
          <w:szCs w:val="24"/>
        </w:rPr>
        <w:t xml:space="preserve"> be guilty of an offense. Penalty: Imprisonment for two years.</w:t>
      </w:r>
    </w:p>
    <w:p w:rsidR="008436A9" w:rsidRDefault="008436A9" w:rsidP="008436A9">
      <w:pPr>
        <w:pStyle w:val="Heading1"/>
        <w:rPr>
          <w:sz w:val="27"/>
        </w:rPr>
      </w:pPr>
      <w:r>
        <w:lastRenderedPageBreak/>
        <w:t>Taxation Administration Act 1953 - Schedule 1</w:t>
      </w:r>
    </w:p>
    <w:p w:rsidR="008436A9" w:rsidRDefault="008436A9" w:rsidP="008436A9"/>
    <w:p w:rsidR="008436A9" w:rsidRDefault="008436A9" w:rsidP="008436A9">
      <w:r>
        <w:t>Taxation of those suffering financial hardship may also be excused from paying tax under certain conditions, yet it is rare that anyone has been excused by the ATO.</w:t>
      </w:r>
    </w:p>
    <w:p w:rsidR="008436A9" w:rsidRDefault="008436A9" w:rsidP="008436A9">
      <w:pPr>
        <w:rPr>
          <w:sz w:val="27"/>
          <w:szCs w:val="27"/>
        </w:rPr>
      </w:pPr>
      <w:bookmarkStart w:id="0" w:name="_Toc115357470"/>
      <w:r>
        <w:rPr>
          <w:rStyle w:val="charsectno"/>
          <w:sz w:val="27"/>
          <w:szCs w:val="27"/>
        </w:rPr>
        <w:t>S. 340-5 </w:t>
      </w:r>
      <w:r>
        <w:rPr>
          <w:sz w:val="27"/>
          <w:szCs w:val="27"/>
        </w:rPr>
        <w:t>  Release from particular liabilities in cases of serious hardship</w:t>
      </w:r>
      <w:bookmarkEnd w:id="0"/>
      <w:r>
        <w:rPr>
          <w:sz w:val="27"/>
          <w:szCs w:val="27"/>
        </w:rPr>
        <w:t>.</w:t>
      </w:r>
    </w:p>
    <w:p w:rsidR="008436A9" w:rsidRDefault="008436A9" w:rsidP="008436A9">
      <w:pPr>
        <w:pStyle w:val="subsectionhead"/>
        <w:rPr>
          <w:color w:val="000000"/>
          <w:sz w:val="27"/>
          <w:szCs w:val="27"/>
        </w:rPr>
      </w:pPr>
      <w:r>
        <w:rPr>
          <w:color w:val="000000"/>
          <w:sz w:val="27"/>
          <w:szCs w:val="27"/>
        </w:rPr>
        <w:t>Applying for release</w:t>
      </w:r>
    </w:p>
    <w:p w:rsidR="008436A9" w:rsidRDefault="008436A9" w:rsidP="008436A9">
      <w:pPr>
        <w:pStyle w:val="subsection"/>
        <w:rPr>
          <w:color w:val="000000"/>
          <w:sz w:val="27"/>
          <w:szCs w:val="27"/>
        </w:rPr>
      </w:pPr>
      <w:r>
        <w:rPr>
          <w:color w:val="000000"/>
          <w:sz w:val="27"/>
          <w:szCs w:val="27"/>
        </w:rPr>
        <w:t>             (1)  You may apply to the </w:t>
      </w:r>
      <w:r w:rsidRPr="008436A9">
        <w:rPr>
          <w:color w:val="000000"/>
          <w:sz w:val="27"/>
          <w:szCs w:val="27"/>
        </w:rPr>
        <w:t>Commissioner</w:t>
      </w:r>
      <w:r>
        <w:rPr>
          <w:color w:val="000000"/>
          <w:sz w:val="27"/>
          <w:szCs w:val="27"/>
        </w:rPr>
        <w:t> to release you, in whole or in part, from a liability of yours if section 340- </w:t>
      </w:r>
      <w:r w:rsidRPr="008436A9">
        <w:rPr>
          <w:color w:val="000000"/>
          <w:sz w:val="27"/>
          <w:szCs w:val="27"/>
        </w:rPr>
        <w:t>10</w:t>
      </w:r>
      <w:r>
        <w:rPr>
          <w:color w:val="000000"/>
          <w:sz w:val="27"/>
          <w:szCs w:val="27"/>
        </w:rPr>
        <w:t> applies to the liability.</w:t>
      </w:r>
    </w:p>
    <w:p w:rsidR="008436A9" w:rsidRDefault="008436A9" w:rsidP="008436A9">
      <w:pPr>
        <w:pStyle w:val="subsection"/>
        <w:rPr>
          <w:color w:val="000000"/>
          <w:sz w:val="27"/>
          <w:szCs w:val="27"/>
        </w:rPr>
      </w:pPr>
      <w:r>
        <w:rPr>
          <w:color w:val="000000"/>
          <w:sz w:val="27"/>
          <w:szCs w:val="27"/>
        </w:rPr>
        <w:t xml:space="preserve">             (2)  The application must be in the </w:t>
      </w:r>
      <w:r w:rsidRPr="008436A9">
        <w:rPr>
          <w:color w:val="000000"/>
          <w:sz w:val="27"/>
          <w:szCs w:val="27"/>
        </w:rPr>
        <w:t>approved form</w:t>
      </w:r>
      <w:r>
        <w:rPr>
          <w:color w:val="000000"/>
          <w:sz w:val="27"/>
          <w:szCs w:val="27"/>
        </w:rPr>
        <w:t>.</w:t>
      </w:r>
    </w:p>
    <w:p w:rsidR="008436A9" w:rsidRDefault="008436A9" w:rsidP="008436A9">
      <w:pPr>
        <w:pStyle w:val="subsection"/>
        <w:rPr>
          <w:color w:val="000000"/>
          <w:sz w:val="27"/>
          <w:szCs w:val="27"/>
        </w:rPr>
      </w:pPr>
      <w:r>
        <w:rPr>
          <w:color w:val="000000"/>
          <w:sz w:val="27"/>
          <w:szCs w:val="27"/>
        </w:rPr>
        <w:t>             (3)  The </w:t>
      </w:r>
      <w:r w:rsidRPr="008436A9">
        <w:rPr>
          <w:color w:val="000000"/>
          <w:sz w:val="27"/>
          <w:szCs w:val="27"/>
        </w:rPr>
        <w:t>Commissioner</w:t>
      </w:r>
      <w:r>
        <w:rPr>
          <w:color w:val="000000"/>
          <w:sz w:val="27"/>
          <w:szCs w:val="27"/>
        </w:rPr>
        <w:t> may release you, in whole or in part, from the liability if you are an </w:t>
      </w:r>
      <w:r w:rsidRPr="008436A9">
        <w:rPr>
          <w:color w:val="000000"/>
          <w:sz w:val="27"/>
          <w:szCs w:val="27"/>
        </w:rPr>
        <w:t>entity</w:t>
      </w:r>
      <w:r>
        <w:rPr>
          <w:color w:val="000000"/>
          <w:sz w:val="27"/>
          <w:szCs w:val="27"/>
        </w:rPr>
        <w:t> specified in the column headed "Entity" of the following table and the condition specified in the column headed "Condition" of the table is satisfied.</w:t>
      </w:r>
    </w:p>
    <w:p w:rsidR="008436A9" w:rsidRPr="008436A9" w:rsidRDefault="008436A9" w:rsidP="008436A9"/>
    <w:p w:rsidR="00EA74BE" w:rsidRDefault="00000000">
      <w:pPr>
        <w:pStyle w:val="Heading1"/>
      </w:pPr>
      <w:r>
        <w:rPr>
          <w:szCs w:val="32"/>
        </w:rPr>
        <w:t>High Court of Australia</w:t>
      </w:r>
    </w:p>
    <w:p w:rsidR="00EA74BE" w:rsidRDefault="00000000">
      <w:pPr>
        <w:spacing w:after="0"/>
        <w:ind w:right="1720"/>
      </w:pPr>
      <w:r>
        <w:rPr>
          <w:szCs w:val="24"/>
        </w:rPr>
        <w:t xml:space="preserve">Uniform Tax Case HCA (High Court of Australia) 1942 (65 CLR 373 at 408). “Common expressions such as: ‘The Courts have declared a statute invalid’,” says Chief Justice Latham, “sometime lead to misunderstanding. </w:t>
      </w:r>
    </w:p>
    <w:p w:rsidR="00EA74BE" w:rsidRDefault="00000000">
      <w:pPr>
        <w:spacing w:after="0"/>
      </w:pPr>
      <w:r>
        <w:rPr>
          <w:szCs w:val="24"/>
        </w:rPr>
        <w:t xml:space="preserve">A pretend law made in excess of power is not and never has been a law at all. Anybody in the country is entitled to disregard it. Naturally, he will feel safer if he has a decision of a court in his favour, but such a decision is not an element that produces invalidity in any law. </w:t>
      </w:r>
    </w:p>
    <w:p w:rsidR="00EA74BE" w:rsidRDefault="00000000">
      <w:pPr>
        <w:spacing w:after="689"/>
      </w:pPr>
      <w:r>
        <w:rPr>
          <w:szCs w:val="24"/>
        </w:rPr>
        <w:t>The law is not valid until a court pronounces against it – and thereafter invalid. If it is beyond power it is void ab initio” "from the beginning"</w:t>
      </w:r>
    </w:p>
    <w:p w:rsidR="00EA74BE" w:rsidRDefault="00000000">
      <w:r>
        <w:rPr>
          <w:szCs w:val="24"/>
        </w:rPr>
        <w:t>“High Court of Australia” Molekier -v- Chapman [2000] -"ATO is not a legal entity"</w:t>
      </w:r>
    </w:p>
    <w:p w:rsidR="00EA74BE" w:rsidRDefault="00000000">
      <w:pPr>
        <w:spacing w:after="0"/>
      </w:pPr>
      <w:r>
        <w:rPr>
          <w:szCs w:val="24"/>
        </w:rPr>
        <w:t xml:space="preserve">Broad beach Properties Pty Ltd -v- Commissioner of Taxation [2008] - </w:t>
      </w:r>
    </w:p>
    <w:p w:rsidR="00EA74BE" w:rsidRDefault="00000000">
      <w:pPr>
        <w:spacing w:after="1102"/>
      </w:pPr>
      <w:r>
        <w:rPr>
          <w:szCs w:val="24"/>
        </w:rPr>
        <w:t xml:space="preserve">"The commissioner and deputy commission are only administrators and cannot claim tax liabilities" </w:t>
      </w:r>
    </w:p>
    <w:p w:rsidR="00EA74BE" w:rsidRDefault="00000000">
      <w:pPr>
        <w:spacing w:after="826"/>
      </w:pPr>
      <w:r>
        <w:rPr>
          <w:szCs w:val="24"/>
        </w:rPr>
        <w:t xml:space="preserve">TAKE NOTICE AND GOVERN YOURSELF ACCORDINGLY,  </w:t>
      </w:r>
    </w:p>
    <w:p w:rsidR="00EA74BE" w:rsidRDefault="00EA74BE">
      <w:pPr>
        <w:spacing w:after="204" w:line="240" w:lineRule="auto"/>
        <w:ind w:right="-15"/>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745"/>
      </w:tblGrid>
      <w:tr w:rsidR="003F15E3" w:rsidTr="003F15E3">
        <w:tc>
          <w:tcPr>
            <w:tcW w:w="4805" w:type="dxa"/>
          </w:tcPr>
          <w:p w:rsidR="003F15E3" w:rsidRDefault="003F15E3">
            <w:pPr>
              <w:spacing w:after="1842" w:line="240" w:lineRule="auto"/>
              <w:ind w:left="0" w:firstLine="0"/>
            </w:pPr>
          </w:p>
        </w:tc>
        <w:tc>
          <w:tcPr>
            <w:tcW w:w="4805" w:type="dxa"/>
          </w:tcPr>
          <w:p w:rsidR="003F15E3" w:rsidRDefault="003F15E3" w:rsidP="003F15E3">
            <w:pPr>
              <w:pStyle w:val="NoSpacing"/>
            </w:pPr>
            <w:r>
              <w:t>~Kind regards,</w:t>
            </w:r>
          </w:p>
          <w:p w:rsidR="003F15E3" w:rsidRDefault="003F15E3" w:rsidP="003F15E3">
            <w:pPr>
              <w:pStyle w:val="NoSpacing"/>
            </w:pPr>
          </w:p>
          <w:p w:rsidR="003F15E3" w:rsidRDefault="003F15E3" w:rsidP="003F15E3">
            <w:pPr>
              <w:pStyle w:val="NoSpacing"/>
            </w:pPr>
          </w:p>
          <w:p w:rsidR="003F15E3" w:rsidRDefault="003F15E3" w:rsidP="003F15E3">
            <w:pPr>
              <w:pStyle w:val="NoSpacing"/>
            </w:pPr>
          </w:p>
          <w:p w:rsidR="003F15E3" w:rsidRDefault="003F15E3" w:rsidP="003F15E3">
            <w:pPr>
              <w:pStyle w:val="NoSpacing"/>
            </w:pPr>
          </w:p>
          <w:p w:rsidR="003F15E3" w:rsidRDefault="003F15E3" w:rsidP="003F15E3">
            <w:pPr>
              <w:pStyle w:val="NoSpacing"/>
            </w:pPr>
            <w:r>
              <w:t>……………………………………….</w:t>
            </w:r>
          </w:p>
          <w:p w:rsidR="003F15E3" w:rsidRDefault="003F15E3" w:rsidP="003F15E3">
            <w:pPr>
              <w:pStyle w:val="NoSpacing"/>
            </w:pPr>
            <w:r>
              <w:t>Autograph and red-ink thumbprint if you wish</w:t>
            </w:r>
          </w:p>
          <w:p w:rsidR="003F15E3" w:rsidRDefault="003F15E3" w:rsidP="003F15E3">
            <w:pPr>
              <w:pStyle w:val="NoSpacing"/>
            </w:pPr>
          </w:p>
          <w:p w:rsidR="003F15E3" w:rsidRDefault="003F15E3" w:rsidP="003F15E3">
            <w:pPr>
              <w:pStyle w:val="NoSpacing"/>
            </w:pPr>
            <w:r>
              <w:t>Your Address</w:t>
            </w:r>
          </w:p>
          <w:p w:rsidR="003F15E3" w:rsidRDefault="003F15E3" w:rsidP="003F15E3">
            <w:pPr>
              <w:pStyle w:val="NoSpacing"/>
            </w:pPr>
            <w:r>
              <w:t>Address</w:t>
            </w:r>
          </w:p>
          <w:p w:rsidR="003F15E3" w:rsidRDefault="003F15E3" w:rsidP="003F15E3">
            <w:pPr>
              <w:pStyle w:val="NoSpacing"/>
            </w:pPr>
            <w:r>
              <w:t>Suburb/Town</w:t>
            </w:r>
          </w:p>
          <w:p w:rsidR="003F15E3" w:rsidRDefault="003F15E3" w:rsidP="003F15E3">
            <w:pPr>
              <w:pStyle w:val="NoSpacing"/>
            </w:pPr>
            <w:r>
              <w:t>State Postcode</w:t>
            </w:r>
          </w:p>
        </w:tc>
      </w:tr>
    </w:tbl>
    <w:p w:rsidR="00EA74BE" w:rsidRDefault="00EA74BE" w:rsidP="003F15E3">
      <w:pPr>
        <w:pStyle w:val="NoSpacing"/>
      </w:pPr>
    </w:p>
    <w:p w:rsidR="003F15E3" w:rsidRDefault="003F15E3" w:rsidP="003F15E3">
      <w:pPr>
        <w:pStyle w:val="NoSpacing"/>
      </w:pPr>
    </w:p>
    <w:p w:rsidR="003F15E3" w:rsidRDefault="003F15E3" w:rsidP="003F15E3">
      <w:pPr>
        <w:pStyle w:val="NoSpacing"/>
        <w:jc w:val="center"/>
      </w:pPr>
      <w:r>
        <w:rPr>
          <w:noProof/>
          <w:szCs w:val="24"/>
        </w:rPr>
        <w:drawing>
          <wp:inline distT="0" distB="0" distL="0" distR="0" wp14:anchorId="19AB6A65" wp14:editId="601D71DE">
            <wp:extent cx="1536229" cy="14859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1310" cy="1490814"/>
                    </a:xfrm>
                    <a:prstGeom prst="rect">
                      <a:avLst/>
                    </a:prstGeom>
                    <a:noFill/>
                    <a:ln>
                      <a:noFill/>
                    </a:ln>
                  </pic:spPr>
                </pic:pic>
              </a:graphicData>
            </a:graphic>
          </wp:inline>
        </w:drawing>
      </w:r>
    </w:p>
    <w:p w:rsidR="003F15E3" w:rsidRDefault="003F15E3" w:rsidP="003F15E3">
      <w:pPr>
        <w:pStyle w:val="NoSpacing"/>
      </w:pPr>
    </w:p>
    <w:p w:rsidR="003F15E3" w:rsidRDefault="003F15E3" w:rsidP="003F15E3">
      <w:pPr>
        <w:pStyle w:val="NoSpacing"/>
      </w:pPr>
    </w:p>
    <w:p w:rsidR="003F15E3" w:rsidRDefault="003F15E3" w:rsidP="003F15E3">
      <w:pPr>
        <w:pStyle w:val="NoSpacing"/>
      </w:pPr>
    </w:p>
    <w:p w:rsidR="00EA74BE" w:rsidRDefault="00000000" w:rsidP="003F15E3">
      <w:pPr>
        <w:pStyle w:val="NoSpacing"/>
      </w:pPr>
      <w:r>
        <w:rPr>
          <w:b/>
          <w:szCs w:val="24"/>
          <w:u w:val="single"/>
        </w:rPr>
        <w:t xml:space="preserve">                                                                                           </w:t>
      </w:r>
    </w:p>
    <w:p w:rsidR="00EA74BE" w:rsidRDefault="00000000" w:rsidP="003F15E3">
      <w:pPr>
        <w:pStyle w:val="NoSpacing"/>
      </w:pPr>
      <w:r>
        <w:rPr>
          <w:b/>
          <w:szCs w:val="24"/>
        </w:rPr>
        <w:t>Date:               /                             /20</w:t>
      </w:r>
    </w:p>
    <w:sectPr w:rsidR="00EA74BE">
      <w:footerReference w:type="default" r:id="rId8"/>
      <w:pgSz w:w="11900" w:h="16840"/>
      <w:pgMar w:top="1144" w:right="1144" w:bottom="1722" w:left="113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0D8C" w:rsidRDefault="00E80D8C" w:rsidP="003F15E3">
      <w:pPr>
        <w:spacing w:after="0" w:line="240" w:lineRule="auto"/>
      </w:pPr>
      <w:r>
        <w:separator/>
      </w:r>
    </w:p>
  </w:endnote>
  <w:endnote w:type="continuationSeparator" w:id="0">
    <w:p w:rsidR="00E80D8C" w:rsidRDefault="00E80D8C" w:rsidP="003F1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15E3" w:rsidRPr="003F15E3" w:rsidRDefault="003F15E3">
    <w:pPr>
      <w:tabs>
        <w:tab w:val="center" w:pos="4550"/>
        <w:tab w:val="left" w:pos="5818"/>
      </w:tabs>
      <w:ind w:right="260"/>
      <w:jc w:val="right"/>
      <w:rPr>
        <w:color w:val="auto"/>
        <w:sz w:val="20"/>
        <w:szCs w:val="20"/>
      </w:rPr>
    </w:pPr>
    <w:r w:rsidRPr="003F15E3">
      <w:rPr>
        <w:color w:val="auto"/>
        <w:spacing w:val="60"/>
        <w:sz w:val="20"/>
        <w:szCs w:val="20"/>
      </w:rPr>
      <w:t>Page</w:t>
    </w:r>
    <w:r w:rsidRPr="003F15E3">
      <w:rPr>
        <w:color w:val="auto"/>
        <w:sz w:val="20"/>
        <w:szCs w:val="20"/>
      </w:rPr>
      <w:t xml:space="preserve"> </w:t>
    </w:r>
    <w:r w:rsidRPr="003F15E3">
      <w:rPr>
        <w:color w:val="auto"/>
        <w:sz w:val="20"/>
        <w:szCs w:val="20"/>
      </w:rPr>
      <w:fldChar w:fldCharType="begin"/>
    </w:r>
    <w:r w:rsidRPr="003F15E3">
      <w:rPr>
        <w:color w:val="auto"/>
        <w:sz w:val="20"/>
        <w:szCs w:val="20"/>
      </w:rPr>
      <w:instrText xml:space="preserve"> PAGE   \* MERGEFORMAT </w:instrText>
    </w:r>
    <w:r w:rsidRPr="003F15E3">
      <w:rPr>
        <w:color w:val="auto"/>
        <w:sz w:val="20"/>
        <w:szCs w:val="20"/>
      </w:rPr>
      <w:fldChar w:fldCharType="separate"/>
    </w:r>
    <w:r w:rsidRPr="003F15E3">
      <w:rPr>
        <w:noProof/>
        <w:color w:val="auto"/>
        <w:sz w:val="20"/>
        <w:szCs w:val="20"/>
      </w:rPr>
      <w:t>1</w:t>
    </w:r>
    <w:r w:rsidRPr="003F15E3">
      <w:rPr>
        <w:color w:val="auto"/>
        <w:sz w:val="20"/>
        <w:szCs w:val="20"/>
      </w:rPr>
      <w:fldChar w:fldCharType="end"/>
    </w:r>
    <w:r w:rsidRPr="003F15E3">
      <w:rPr>
        <w:color w:val="auto"/>
        <w:sz w:val="20"/>
        <w:szCs w:val="20"/>
      </w:rPr>
      <w:t xml:space="preserve"> | </w:t>
    </w:r>
    <w:r w:rsidRPr="003F15E3">
      <w:rPr>
        <w:color w:val="auto"/>
        <w:sz w:val="20"/>
        <w:szCs w:val="20"/>
      </w:rPr>
      <w:fldChar w:fldCharType="begin"/>
    </w:r>
    <w:r w:rsidRPr="003F15E3">
      <w:rPr>
        <w:color w:val="auto"/>
        <w:sz w:val="20"/>
        <w:szCs w:val="20"/>
      </w:rPr>
      <w:instrText xml:space="preserve"> NUMPAGES  \* Arabic  \* MERGEFORMAT </w:instrText>
    </w:r>
    <w:r w:rsidRPr="003F15E3">
      <w:rPr>
        <w:color w:val="auto"/>
        <w:sz w:val="20"/>
        <w:szCs w:val="20"/>
      </w:rPr>
      <w:fldChar w:fldCharType="separate"/>
    </w:r>
    <w:r w:rsidRPr="003F15E3">
      <w:rPr>
        <w:noProof/>
        <w:color w:val="auto"/>
        <w:sz w:val="20"/>
        <w:szCs w:val="20"/>
      </w:rPr>
      <w:t>1</w:t>
    </w:r>
    <w:r w:rsidRPr="003F15E3">
      <w:rPr>
        <w:color w:val="auto"/>
        <w:sz w:val="20"/>
        <w:szCs w:val="20"/>
      </w:rPr>
      <w:fldChar w:fldCharType="end"/>
    </w:r>
  </w:p>
  <w:p w:rsidR="003F15E3" w:rsidRDefault="003F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0D8C" w:rsidRDefault="00E80D8C" w:rsidP="003F15E3">
      <w:pPr>
        <w:spacing w:after="0" w:line="240" w:lineRule="auto"/>
      </w:pPr>
      <w:r>
        <w:separator/>
      </w:r>
    </w:p>
  </w:footnote>
  <w:footnote w:type="continuationSeparator" w:id="0">
    <w:p w:rsidR="00E80D8C" w:rsidRDefault="00E80D8C" w:rsidP="003F1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470FA"/>
    <w:multiLevelType w:val="hybridMultilevel"/>
    <w:tmpl w:val="DB085A0C"/>
    <w:lvl w:ilvl="0" w:tplc="00341F38">
      <w:start w:val="1"/>
      <w:numFmt w:val="lowerLetter"/>
      <w:lvlText w:val="%1."/>
      <w:lvlJc w:val="left"/>
      <w:pPr>
        <w:ind w:left="10"/>
      </w:pPr>
      <w:rPr>
        <w:rFonts w:ascii="Times New Roman" w:eastAsia="Times New Roman" w:hAnsi="Times New Roman" w:cs="Times New Roman"/>
        <w:b w:val="0"/>
        <w:i w:val="0"/>
        <w:strike w:val="0"/>
        <w:dstrike w:val="0"/>
        <w:color w:val="FF0000"/>
        <w:sz w:val="24"/>
        <w:u w:val="none"/>
        <w:shd w:val="clear" w:color="auto" w:fill="auto"/>
        <w:vertAlign w:val="baseline"/>
      </w:rPr>
    </w:lvl>
    <w:lvl w:ilvl="1" w:tplc="2320CF50">
      <w:start w:val="1"/>
      <w:numFmt w:val="lowerLetter"/>
      <w:lvlText w:val="%2"/>
      <w:lvlJc w:val="left"/>
      <w:pPr>
        <w:ind w:left="1080"/>
      </w:pPr>
      <w:rPr>
        <w:rFonts w:ascii="Times New Roman" w:eastAsia="Times New Roman" w:hAnsi="Times New Roman" w:cs="Times New Roman"/>
        <w:b w:val="0"/>
        <w:i w:val="0"/>
        <w:strike w:val="0"/>
        <w:dstrike w:val="0"/>
        <w:color w:val="FF0000"/>
        <w:sz w:val="24"/>
        <w:u w:val="none"/>
        <w:shd w:val="clear" w:color="auto" w:fill="auto"/>
        <w:vertAlign w:val="baseline"/>
      </w:rPr>
    </w:lvl>
    <w:lvl w:ilvl="2" w:tplc="C6B6F00E">
      <w:start w:val="1"/>
      <w:numFmt w:val="lowerRoman"/>
      <w:lvlText w:val="%3"/>
      <w:lvlJc w:val="left"/>
      <w:pPr>
        <w:ind w:left="1800"/>
      </w:pPr>
      <w:rPr>
        <w:rFonts w:ascii="Times New Roman" w:eastAsia="Times New Roman" w:hAnsi="Times New Roman" w:cs="Times New Roman"/>
        <w:b w:val="0"/>
        <w:i w:val="0"/>
        <w:strike w:val="0"/>
        <w:dstrike w:val="0"/>
        <w:color w:val="FF0000"/>
        <w:sz w:val="24"/>
        <w:u w:val="none"/>
        <w:shd w:val="clear" w:color="auto" w:fill="auto"/>
        <w:vertAlign w:val="baseline"/>
      </w:rPr>
    </w:lvl>
    <w:lvl w:ilvl="3" w:tplc="1196EA88">
      <w:start w:val="1"/>
      <w:numFmt w:val="decimal"/>
      <w:lvlText w:val="%4"/>
      <w:lvlJc w:val="left"/>
      <w:pPr>
        <w:ind w:left="2520"/>
      </w:pPr>
      <w:rPr>
        <w:rFonts w:ascii="Times New Roman" w:eastAsia="Times New Roman" w:hAnsi="Times New Roman" w:cs="Times New Roman"/>
        <w:b w:val="0"/>
        <w:i w:val="0"/>
        <w:strike w:val="0"/>
        <w:dstrike w:val="0"/>
        <w:color w:val="FF0000"/>
        <w:sz w:val="24"/>
        <w:u w:val="none"/>
        <w:shd w:val="clear" w:color="auto" w:fill="auto"/>
        <w:vertAlign w:val="baseline"/>
      </w:rPr>
    </w:lvl>
    <w:lvl w:ilvl="4" w:tplc="2AF2E97E">
      <w:start w:val="1"/>
      <w:numFmt w:val="lowerLetter"/>
      <w:lvlText w:val="%5"/>
      <w:lvlJc w:val="left"/>
      <w:pPr>
        <w:ind w:left="3240"/>
      </w:pPr>
      <w:rPr>
        <w:rFonts w:ascii="Times New Roman" w:eastAsia="Times New Roman" w:hAnsi="Times New Roman" w:cs="Times New Roman"/>
        <w:b w:val="0"/>
        <w:i w:val="0"/>
        <w:strike w:val="0"/>
        <w:dstrike w:val="0"/>
        <w:color w:val="FF0000"/>
        <w:sz w:val="24"/>
        <w:u w:val="none"/>
        <w:shd w:val="clear" w:color="auto" w:fill="auto"/>
        <w:vertAlign w:val="baseline"/>
      </w:rPr>
    </w:lvl>
    <w:lvl w:ilvl="5" w:tplc="36969044">
      <w:start w:val="1"/>
      <w:numFmt w:val="lowerRoman"/>
      <w:lvlText w:val="%6"/>
      <w:lvlJc w:val="left"/>
      <w:pPr>
        <w:ind w:left="3960"/>
      </w:pPr>
      <w:rPr>
        <w:rFonts w:ascii="Times New Roman" w:eastAsia="Times New Roman" w:hAnsi="Times New Roman" w:cs="Times New Roman"/>
        <w:b w:val="0"/>
        <w:i w:val="0"/>
        <w:strike w:val="0"/>
        <w:dstrike w:val="0"/>
        <w:color w:val="FF0000"/>
        <w:sz w:val="24"/>
        <w:u w:val="none"/>
        <w:shd w:val="clear" w:color="auto" w:fill="auto"/>
        <w:vertAlign w:val="baseline"/>
      </w:rPr>
    </w:lvl>
    <w:lvl w:ilvl="6" w:tplc="28582EAC">
      <w:start w:val="1"/>
      <w:numFmt w:val="decimal"/>
      <w:lvlText w:val="%7"/>
      <w:lvlJc w:val="left"/>
      <w:pPr>
        <w:ind w:left="4680"/>
      </w:pPr>
      <w:rPr>
        <w:rFonts w:ascii="Times New Roman" w:eastAsia="Times New Roman" w:hAnsi="Times New Roman" w:cs="Times New Roman"/>
        <w:b w:val="0"/>
        <w:i w:val="0"/>
        <w:strike w:val="0"/>
        <w:dstrike w:val="0"/>
        <w:color w:val="FF0000"/>
        <w:sz w:val="24"/>
        <w:u w:val="none"/>
        <w:shd w:val="clear" w:color="auto" w:fill="auto"/>
        <w:vertAlign w:val="baseline"/>
      </w:rPr>
    </w:lvl>
    <w:lvl w:ilvl="7" w:tplc="D0DC051A">
      <w:start w:val="1"/>
      <w:numFmt w:val="lowerLetter"/>
      <w:lvlText w:val="%8"/>
      <w:lvlJc w:val="left"/>
      <w:pPr>
        <w:ind w:left="5400"/>
      </w:pPr>
      <w:rPr>
        <w:rFonts w:ascii="Times New Roman" w:eastAsia="Times New Roman" w:hAnsi="Times New Roman" w:cs="Times New Roman"/>
        <w:b w:val="0"/>
        <w:i w:val="0"/>
        <w:strike w:val="0"/>
        <w:dstrike w:val="0"/>
        <w:color w:val="FF0000"/>
        <w:sz w:val="24"/>
        <w:u w:val="none"/>
        <w:shd w:val="clear" w:color="auto" w:fill="auto"/>
        <w:vertAlign w:val="baseline"/>
      </w:rPr>
    </w:lvl>
    <w:lvl w:ilvl="8" w:tplc="1EF4C964">
      <w:start w:val="1"/>
      <w:numFmt w:val="lowerRoman"/>
      <w:lvlText w:val="%9"/>
      <w:lvlJc w:val="left"/>
      <w:pPr>
        <w:ind w:left="6120"/>
      </w:pPr>
      <w:rPr>
        <w:rFonts w:ascii="Times New Roman" w:eastAsia="Times New Roman" w:hAnsi="Times New Roman" w:cs="Times New Roman"/>
        <w:b w:val="0"/>
        <w:i w:val="0"/>
        <w:strike w:val="0"/>
        <w:dstrike w:val="0"/>
        <w:color w:val="FF0000"/>
        <w:sz w:val="24"/>
        <w:u w:val="none"/>
        <w:shd w:val="clear" w:color="auto" w:fill="auto"/>
        <w:vertAlign w:val="baseline"/>
      </w:rPr>
    </w:lvl>
  </w:abstractNum>
  <w:abstractNum w:abstractNumId="1" w15:restartNumberingAfterBreak="0">
    <w:nsid w:val="7BBE70A0"/>
    <w:multiLevelType w:val="hybridMultilevel"/>
    <w:tmpl w:val="D55A5496"/>
    <w:lvl w:ilvl="0" w:tplc="75D872D6">
      <w:start w:val="1"/>
      <w:numFmt w:val="decimal"/>
      <w:lvlText w:val="(%1)"/>
      <w:lvlJc w:val="left"/>
      <w:pPr>
        <w:ind w:left="340"/>
      </w:pPr>
      <w:rPr>
        <w:rFonts w:ascii="Times New Roman" w:eastAsia="Times New Roman" w:hAnsi="Times New Roman" w:cs="Times New Roman"/>
        <w:b w:val="0"/>
        <w:i w:val="0"/>
        <w:strike w:val="0"/>
        <w:dstrike w:val="0"/>
        <w:color w:val="FF0000"/>
        <w:sz w:val="24"/>
        <w:u w:val="none"/>
        <w:shd w:val="clear" w:color="auto" w:fill="auto"/>
        <w:vertAlign w:val="baseline"/>
      </w:rPr>
    </w:lvl>
    <w:lvl w:ilvl="1" w:tplc="1B783E6C">
      <w:start w:val="1"/>
      <w:numFmt w:val="lowerLetter"/>
      <w:lvlText w:val="%2"/>
      <w:lvlJc w:val="left"/>
      <w:pPr>
        <w:ind w:left="1080"/>
      </w:pPr>
      <w:rPr>
        <w:rFonts w:ascii="Times New Roman" w:eastAsia="Times New Roman" w:hAnsi="Times New Roman" w:cs="Times New Roman"/>
        <w:b w:val="0"/>
        <w:i w:val="0"/>
        <w:strike w:val="0"/>
        <w:dstrike w:val="0"/>
        <w:color w:val="FF0000"/>
        <w:sz w:val="24"/>
        <w:u w:val="none"/>
        <w:shd w:val="clear" w:color="auto" w:fill="auto"/>
        <w:vertAlign w:val="baseline"/>
      </w:rPr>
    </w:lvl>
    <w:lvl w:ilvl="2" w:tplc="2FD08692">
      <w:start w:val="1"/>
      <w:numFmt w:val="lowerRoman"/>
      <w:lvlText w:val="%3"/>
      <w:lvlJc w:val="left"/>
      <w:pPr>
        <w:ind w:left="1800"/>
      </w:pPr>
      <w:rPr>
        <w:rFonts w:ascii="Times New Roman" w:eastAsia="Times New Roman" w:hAnsi="Times New Roman" w:cs="Times New Roman"/>
        <w:b w:val="0"/>
        <w:i w:val="0"/>
        <w:strike w:val="0"/>
        <w:dstrike w:val="0"/>
        <w:color w:val="FF0000"/>
        <w:sz w:val="24"/>
        <w:u w:val="none"/>
        <w:shd w:val="clear" w:color="auto" w:fill="auto"/>
        <w:vertAlign w:val="baseline"/>
      </w:rPr>
    </w:lvl>
    <w:lvl w:ilvl="3" w:tplc="FD9A9B7C">
      <w:start w:val="1"/>
      <w:numFmt w:val="decimal"/>
      <w:lvlText w:val="%4"/>
      <w:lvlJc w:val="left"/>
      <w:pPr>
        <w:ind w:left="2520"/>
      </w:pPr>
      <w:rPr>
        <w:rFonts w:ascii="Times New Roman" w:eastAsia="Times New Roman" w:hAnsi="Times New Roman" w:cs="Times New Roman"/>
        <w:b w:val="0"/>
        <w:i w:val="0"/>
        <w:strike w:val="0"/>
        <w:dstrike w:val="0"/>
        <w:color w:val="FF0000"/>
        <w:sz w:val="24"/>
        <w:u w:val="none"/>
        <w:shd w:val="clear" w:color="auto" w:fill="auto"/>
        <w:vertAlign w:val="baseline"/>
      </w:rPr>
    </w:lvl>
    <w:lvl w:ilvl="4" w:tplc="701697B4">
      <w:start w:val="1"/>
      <w:numFmt w:val="lowerLetter"/>
      <w:lvlText w:val="%5"/>
      <w:lvlJc w:val="left"/>
      <w:pPr>
        <w:ind w:left="3240"/>
      </w:pPr>
      <w:rPr>
        <w:rFonts w:ascii="Times New Roman" w:eastAsia="Times New Roman" w:hAnsi="Times New Roman" w:cs="Times New Roman"/>
        <w:b w:val="0"/>
        <w:i w:val="0"/>
        <w:strike w:val="0"/>
        <w:dstrike w:val="0"/>
        <w:color w:val="FF0000"/>
        <w:sz w:val="24"/>
        <w:u w:val="none"/>
        <w:shd w:val="clear" w:color="auto" w:fill="auto"/>
        <w:vertAlign w:val="baseline"/>
      </w:rPr>
    </w:lvl>
    <w:lvl w:ilvl="5" w:tplc="3AB6E336">
      <w:start w:val="1"/>
      <w:numFmt w:val="lowerRoman"/>
      <w:lvlText w:val="%6"/>
      <w:lvlJc w:val="left"/>
      <w:pPr>
        <w:ind w:left="3960"/>
      </w:pPr>
      <w:rPr>
        <w:rFonts w:ascii="Times New Roman" w:eastAsia="Times New Roman" w:hAnsi="Times New Roman" w:cs="Times New Roman"/>
        <w:b w:val="0"/>
        <w:i w:val="0"/>
        <w:strike w:val="0"/>
        <w:dstrike w:val="0"/>
        <w:color w:val="FF0000"/>
        <w:sz w:val="24"/>
        <w:u w:val="none"/>
        <w:shd w:val="clear" w:color="auto" w:fill="auto"/>
        <w:vertAlign w:val="baseline"/>
      </w:rPr>
    </w:lvl>
    <w:lvl w:ilvl="6" w:tplc="533CA226">
      <w:start w:val="1"/>
      <w:numFmt w:val="decimal"/>
      <w:lvlText w:val="%7"/>
      <w:lvlJc w:val="left"/>
      <w:pPr>
        <w:ind w:left="4680"/>
      </w:pPr>
      <w:rPr>
        <w:rFonts w:ascii="Times New Roman" w:eastAsia="Times New Roman" w:hAnsi="Times New Roman" w:cs="Times New Roman"/>
        <w:b w:val="0"/>
        <w:i w:val="0"/>
        <w:strike w:val="0"/>
        <w:dstrike w:val="0"/>
        <w:color w:val="FF0000"/>
        <w:sz w:val="24"/>
        <w:u w:val="none"/>
        <w:shd w:val="clear" w:color="auto" w:fill="auto"/>
        <w:vertAlign w:val="baseline"/>
      </w:rPr>
    </w:lvl>
    <w:lvl w:ilvl="7" w:tplc="1A6AC78E">
      <w:start w:val="1"/>
      <w:numFmt w:val="lowerLetter"/>
      <w:lvlText w:val="%8"/>
      <w:lvlJc w:val="left"/>
      <w:pPr>
        <w:ind w:left="5400"/>
      </w:pPr>
      <w:rPr>
        <w:rFonts w:ascii="Times New Roman" w:eastAsia="Times New Roman" w:hAnsi="Times New Roman" w:cs="Times New Roman"/>
        <w:b w:val="0"/>
        <w:i w:val="0"/>
        <w:strike w:val="0"/>
        <w:dstrike w:val="0"/>
        <w:color w:val="FF0000"/>
        <w:sz w:val="24"/>
        <w:u w:val="none"/>
        <w:shd w:val="clear" w:color="auto" w:fill="auto"/>
        <w:vertAlign w:val="baseline"/>
      </w:rPr>
    </w:lvl>
    <w:lvl w:ilvl="8" w:tplc="2DA2175C">
      <w:start w:val="1"/>
      <w:numFmt w:val="lowerRoman"/>
      <w:lvlText w:val="%9"/>
      <w:lvlJc w:val="left"/>
      <w:pPr>
        <w:ind w:left="6120"/>
      </w:pPr>
      <w:rPr>
        <w:rFonts w:ascii="Times New Roman" w:eastAsia="Times New Roman" w:hAnsi="Times New Roman" w:cs="Times New Roman"/>
        <w:b w:val="0"/>
        <w:i w:val="0"/>
        <w:strike w:val="0"/>
        <w:dstrike w:val="0"/>
        <w:color w:val="FF0000"/>
        <w:sz w:val="24"/>
        <w:u w:val="none"/>
        <w:shd w:val="clear" w:color="auto" w:fill="auto"/>
        <w:vertAlign w:val="baseline"/>
      </w:rPr>
    </w:lvl>
  </w:abstractNum>
  <w:num w:numId="1" w16cid:durableId="2136366494">
    <w:abstractNumId w:val="1"/>
  </w:num>
  <w:num w:numId="2" w16cid:durableId="1130627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E59"/>
    <w:rsid w:val="00285699"/>
    <w:rsid w:val="00295E59"/>
    <w:rsid w:val="002E556D"/>
    <w:rsid w:val="00392AEC"/>
    <w:rsid w:val="003A2676"/>
    <w:rsid w:val="003D787F"/>
    <w:rsid w:val="003F15E3"/>
    <w:rsid w:val="006C102C"/>
    <w:rsid w:val="008436A9"/>
    <w:rsid w:val="00A803C1"/>
    <w:rsid w:val="00B31145"/>
    <w:rsid w:val="00B43DF4"/>
    <w:rsid w:val="00C91C5A"/>
    <w:rsid w:val="00E80D8C"/>
    <w:rsid w:val="00EA74BE"/>
    <w:rsid w:val="00F402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C1A43"/>
  <w15:docId w15:val="{D67B8AA0-434A-4E2C-9C40-BC294ACA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7" w:line="243" w:lineRule="auto"/>
      <w:ind w:left="-5"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73" w:line="240" w:lineRule="auto"/>
      <w:ind w:left="-5" w:right="-15" w:hanging="10"/>
      <w:outlineLvl w:val="0"/>
    </w:pPr>
    <w:rPr>
      <w:rFonts w:ascii="Times New Roman" w:eastAsia="Times New Roman" w:hAnsi="Times New Roman" w:cs="Times New Roman"/>
      <w:b/>
      <w:color w:val="FF0000"/>
      <w:sz w:val="32"/>
    </w:rPr>
  </w:style>
  <w:style w:type="paragraph" w:styleId="Heading3">
    <w:name w:val="heading 3"/>
    <w:basedOn w:val="Normal"/>
    <w:next w:val="Normal"/>
    <w:link w:val="Heading3Char"/>
    <w:uiPriority w:val="9"/>
    <w:semiHidden/>
    <w:unhideWhenUsed/>
    <w:qFormat/>
    <w:rsid w:val="008436A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FF0000"/>
      <w:sz w:val="32"/>
    </w:rPr>
  </w:style>
  <w:style w:type="table" w:styleId="TableGrid">
    <w:name w:val="Table Grid"/>
    <w:basedOn w:val="TableNormal"/>
    <w:uiPriority w:val="39"/>
    <w:rsid w:val="003F1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15E3"/>
    <w:pPr>
      <w:spacing w:after="0" w:line="240" w:lineRule="auto"/>
      <w:ind w:left="-5" w:hanging="10"/>
    </w:pPr>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3F1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5E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F1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5E3"/>
    <w:rPr>
      <w:rFonts w:ascii="Times New Roman" w:eastAsia="Times New Roman" w:hAnsi="Times New Roman" w:cs="Times New Roman"/>
      <w:color w:val="000000"/>
      <w:sz w:val="24"/>
    </w:rPr>
  </w:style>
  <w:style w:type="character" w:customStyle="1" w:styleId="charsectno">
    <w:name w:val="charsectno"/>
    <w:basedOn w:val="DefaultParagraphFont"/>
    <w:rsid w:val="008436A9"/>
  </w:style>
  <w:style w:type="character" w:customStyle="1" w:styleId="Heading3Char">
    <w:name w:val="Heading 3 Char"/>
    <w:basedOn w:val="DefaultParagraphFont"/>
    <w:link w:val="Heading3"/>
    <w:uiPriority w:val="9"/>
    <w:semiHidden/>
    <w:rsid w:val="008436A9"/>
    <w:rPr>
      <w:rFonts w:asciiTheme="majorHAnsi" w:eastAsiaTheme="majorEastAsia" w:hAnsiTheme="majorHAnsi" w:cstheme="majorBidi"/>
      <w:color w:val="1F4D78" w:themeColor="accent1" w:themeShade="7F"/>
      <w:sz w:val="24"/>
      <w:szCs w:val="24"/>
    </w:rPr>
  </w:style>
  <w:style w:type="paragraph" w:customStyle="1" w:styleId="subsectionhead">
    <w:name w:val="subsectionhead"/>
    <w:basedOn w:val="Normal"/>
    <w:rsid w:val="008436A9"/>
    <w:pPr>
      <w:spacing w:before="100" w:beforeAutospacing="1" w:after="100" w:afterAutospacing="1" w:line="240" w:lineRule="auto"/>
      <w:ind w:left="0" w:firstLine="0"/>
    </w:pPr>
    <w:rPr>
      <w:color w:val="auto"/>
      <w:szCs w:val="24"/>
    </w:rPr>
  </w:style>
  <w:style w:type="paragraph" w:customStyle="1" w:styleId="subsection">
    <w:name w:val="subsection"/>
    <w:basedOn w:val="Normal"/>
    <w:rsid w:val="008436A9"/>
    <w:pPr>
      <w:spacing w:before="100" w:beforeAutospacing="1" w:after="100" w:afterAutospacing="1" w:line="240" w:lineRule="auto"/>
      <w:ind w:left="0" w:firstLine="0"/>
    </w:pPr>
    <w:rPr>
      <w:color w:val="auto"/>
      <w:szCs w:val="24"/>
    </w:rPr>
  </w:style>
  <w:style w:type="character" w:styleId="Hyperlink">
    <w:name w:val="Hyperlink"/>
    <w:basedOn w:val="DefaultParagraphFont"/>
    <w:uiPriority w:val="99"/>
    <w:semiHidden/>
    <w:unhideWhenUsed/>
    <w:rsid w:val="008436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232923">
      <w:bodyDiv w:val="1"/>
      <w:marLeft w:val="0"/>
      <w:marRight w:val="0"/>
      <w:marTop w:val="0"/>
      <w:marBottom w:val="0"/>
      <w:divBdr>
        <w:top w:val="none" w:sz="0" w:space="0" w:color="auto"/>
        <w:left w:val="none" w:sz="0" w:space="0" w:color="auto"/>
        <w:bottom w:val="none" w:sz="0" w:space="0" w:color="auto"/>
        <w:right w:val="none" w:sz="0" w:space="0" w:color="auto"/>
      </w:divBdr>
    </w:div>
    <w:div w:id="20478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black</dc:creator>
  <cp:keywords/>
  <cp:lastModifiedBy>Mike Holt</cp:lastModifiedBy>
  <cp:revision>10</cp:revision>
  <dcterms:created xsi:type="dcterms:W3CDTF">2023-01-05T00:44:00Z</dcterms:created>
  <dcterms:modified xsi:type="dcterms:W3CDTF">2023-01-10T18:41:00Z</dcterms:modified>
</cp:coreProperties>
</file>